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F684" w14:textId="13C867D6" w:rsidR="00B86C8C" w:rsidRDefault="003A1480">
      <w:pPr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 w:rsidRPr="003A1480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Uncorrected cervical cancer mortality rates per 100,000 women in the states in the North, South, and Southeast regions in Brazil</w:t>
      </w:r>
    </w:p>
    <w:tbl>
      <w:tblPr>
        <w:tblW w:w="10595" w:type="dxa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881"/>
        <w:gridCol w:w="881"/>
        <w:gridCol w:w="881"/>
        <w:gridCol w:w="881"/>
        <w:gridCol w:w="881"/>
        <w:gridCol w:w="881"/>
        <w:gridCol w:w="881"/>
        <w:gridCol w:w="881"/>
        <w:gridCol w:w="854"/>
        <w:gridCol w:w="146"/>
      </w:tblGrid>
      <w:tr w:rsidR="003A1480" w:rsidRPr="003223D4" w14:paraId="1E2FDAE1" w14:textId="77777777" w:rsidTr="003A1480">
        <w:trPr>
          <w:gridAfter w:val="1"/>
          <w:wAfter w:w="146" w:type="dxa"/>
          <w:trHeight w:val="100"/>
          <w:jc w:val="center"/>
        </w:trPr>
        <w:tc>
          <w:tcPr>
            <w:tcW w:w="10449" w:type="dxa"/>
            <w:gridSpan w:val="10"/>
          </w:tcPr>
          <w:p w14:paraId="0AC40CE8" w14:textId="77777777" w:rsid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5635FBD9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6" w:type="dxa"/>
          <w:trHeight w:val="298"/>
          <w:jc w:val="center"/>
        </w:trPr>
        <w:tc>
          <w:tcPr>
            <w:tcW w:w="25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67D4B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Federation Units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629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1980-1984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F109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1985-1989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633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1990-1994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47C2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1995-1999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434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2000-2004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0B83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2005-2009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8AD8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2010-2014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6558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2015-2019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361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SMR</w:t>
            </w:r>
          </w:p>
        </w:tc>
      </w:tr>
      <w:tr w:rsidR="003A1480" w:rsidRPr="003A1480" w14:paraId="6FC69458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6" w:type="dxa"/>
          <w:trHeight w:val="451"/>
          <w:jc w:val="center"/>
        </w:trPr>
        <w:tc>
          <w:tcPr>
            <w:tcW w:w="2547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0B8D38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South and Southeast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3591F0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1980-1984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2C4993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1985-1989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0F7EBE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1990-1994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7E1FE8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1995-1999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9ADBCD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2000-2004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EF1D1E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2005-2009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3CD2FA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2010-2014</w:t>
            </w:r>
          </w:p>
        </w:tc>
        <w:tc>
          <w:tcPr>
            <w:tcW w:w="88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769AD0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2015-2019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1DD6D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SMR</w:t>
            </w:r>
          </w:p>
        </w:tc>
      </w:tr>
      <w:tr w:rsidR="003A1480" w:rsidRPr="003A1480" w14:paraId="1FEF54EC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035E94F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F444090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86D850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C94C6D7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29CFE86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BDD1B0B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C634FF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8FF577A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6CBA55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D9288B2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CDD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3D4B5233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B4D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Paraná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13B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8.83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202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9.35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8B38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10.38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DF8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11.53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0A9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10.30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1B9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8.31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8C4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7.35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C4A4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7.96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2808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8.90</w:t>
            </w:r>
          </w:p>
        </w:tc>
        <w:tc>
          <w:tcPr>
            <w:tcW w:w="146" w:type="dxa"/>
            <w:vAlign w:val="center"/>
            <w:hideMark/>
          </w:tcPr>
          <w:p w14:paraId="305EBB7C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70468DC8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335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Rio Grande do Sul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542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8.51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896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9.63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0C7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10.31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DCED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10.63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6B3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9.56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F7E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7.77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9FE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6.67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31B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7.73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4BE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8.57</w:t>
            </w:r>
          </w:p>
        </w:tc>
        <w:tc>
          <w:tcPr>
            <w:tcW w:w="146" w:type="dxa"/>
            <w:vAlign w:val="center"/>
            <w:hideMark/>
          </w:tcPr>
          <w:p w14:paraId="5B5F40D2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65DB768A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152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Santa Catarina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A82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5.98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B27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6.85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C173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8.22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50F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9.20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3948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7.63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2BA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7.04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52C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6.85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5D1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7.45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B33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7.37</w:t>
            </w:r>
          </w:p>
        </w:tc>
        <w:tc>
          <w:tcPr>
            <w:tcW w:w="146" w:type="dxa"/>
            <w:vAlign w:val="center"/>
            <w:hideMark/>
          </w:tcPr>
          <w:p w14:paraId="4AC44016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0BF2070A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713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proofErr w:type="spellStart"/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Espírito</w:t>
            </w:r>
            <w:proofErr w:type="spellEnd"/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 xml:space="preserve"> Santo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FFB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7.96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7DF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9.08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BFF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9.41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CF3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9.52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D688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F4A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9.07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5F7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7.93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870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8.65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357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9.16</w:t>
            </w:r>
          </w:p>
        </w:tc>
        <w:tc>
          <w:tcPr>
            <w:tcW w:w="146" w:type="dxa"/>
            <w:vAlign w:val="center"/>
            <w:hideMark/>
          </w:tcPr>
          <w:p w14:paraId="3759D2A0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37BD3BB6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C5F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Minas Gerais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DC4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6.82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DEB6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6.90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B77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6.69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1D4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6.46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F61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6.16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293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5.92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56A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9.38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34C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5.23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A64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5.93</w:t>
            </w:r>
          </w:p>
        </w:tc>
        <w:tc>
          <w:tcPr>
            <w:tcW w:w="146" w:type="dxa"/>
            <w:vAlign w:val="center"/>
            <w:hideMark/>
          </w:tcPr>
          <w:p w14:paraId="4EB959F7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435BD4AC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8CE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Rio de Janeiro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822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8.68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814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7.94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D8C8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8.82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54AA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9.11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7B8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9.72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A15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8.46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887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8.05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E81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7.82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B66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8.42</w:t>
            </w:r>
          </w:p>
        </w:tc>
        <w:tc>
          <w:tcPr>
            <w:tcW w:w="146" w:type="dxa"/>
            <w:vAlign w:val="center"/>
            <w:hideMark/>
          </w:tcPr>
          <w:p w14:paraId="74E2FEF4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566F74F9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920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São Paulo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756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9.06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EBB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8.10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D7B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8.53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956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8.20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44A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7.55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5EA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5.84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73F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5.06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1DF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4.89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3F54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6.57</w:t>
            </w:r>
          </w:p>
        </w:tc>
        <w:tc>
          <w:tcPr>
            <w:tcW w:w="146" w:type="dxa"/>
            <w:vAlign w:val="center"/>
            <w:hideMark/>
          </w:tcPr>
          <w:p w14:paraId="0AC58441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125CCAC9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E7599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North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6597C1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1980-1984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7B980A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1985-1989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8471B4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1990-1994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0AD777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1995-1999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F8B83C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2000-2004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C0C4FE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2005-2009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520D07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2010-2014</w:t>
            </w:r>
          </w:p>
        </w:tc>
        <w:tc>
          <w:tcPr>
            <w:tcW w:w="881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CAADB3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2015-2019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764B9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SMR</w:t>
            </w:r>
          </w:p>
        </w:tc>
        <w:tc>
          <w:tcPr>
            <w:tcW w:w="146" w:type="dxa"/>
            <w:vAlign w:val="center"/>
            <w:hideMark/>
          </w:tcPr>
          <w:p w14:paraId="273E0BF0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26F9B30B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CDC374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741190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769D58C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23211BB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5DF23C6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C6C51E6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28EBEC5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3959B7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81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833ACA2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854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1726C96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C970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2FE85812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70E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Acre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574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11.03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36F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10.06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425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15.56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FE4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12.43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6BE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9.52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0D0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8.36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3C77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16.71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454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18.71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9AA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13.82</w:t>
            </w:r>
          </w:p>
        </w:tc>
        <w:tc>
          <w:tcPr>
            <w:tcW w:w="146" w:type="dxa"/>
            <w:vAlign w:val="center"/>
            <w:hideMark/>
          </w:tcPr>
          <w:p w14:paraId="7C64539B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12C9B696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80A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Amazonas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956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13.60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56B8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17.95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EF5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13.05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587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19.60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DAD7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19.17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3DF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25.61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323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31.43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FB8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28.88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A04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24.13</w:t>
            </w:r>
          </w:p>
        </w:tc>
        <w:tc>
          <w:tcPr>
            <w:tcW w:w="146" w:type="dxa"/>
            <w:vAlign w:val="center"/>
            <w:hideMark/>
          </w:tcPr>
          <w:p w14:paraId="16714751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5B8FC076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48E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proofErr w:type="spellStart"/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Amapá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601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20.72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551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40.25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9F2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28.80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E9E0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22.37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B26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17.17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2D2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15.35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3EE6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23.31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FDC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20.43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CD2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21.55</w:t>
            </w:r>
          </w:p>
        </w:tc>
        <w:tc>
          <w:tcPr>
            <w:tcW w:w="146" w:type="dxa"/>
            <w:vAlign w:val="center"/>
            <w:hideMark/>
          </w:tcPr>
          <w:p w14:paraId="3D4A0432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193629D0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67F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Pará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C37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14.45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C06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14.07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B3B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12.81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4E5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11.43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2C8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13.68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3255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14.22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AC30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13.99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87F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16.27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5F4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14.16</w:t>
            </w:r>
          </w:p>
        </w:tc>
        <w:tc>
          <w:tcPr>
            <w:tcW w:w="146" w:type="dxa"/>
            <w:vAlign w:val="center"/>
            <w:hideMark/>
          </w:tcPr>
          <w:p w14:paraId="4C0FE7A3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7AB7DF7C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E2FC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Rondônia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6AFE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10.46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AF92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11.84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438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8.43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D441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9.66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BA9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9.42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4D1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10.86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316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9.54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82F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12.01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97F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10.44</w:t>
            </w:r>
          </w:p>
        </w:tc>
        <w:tc>
          <w:tcPr>
            <w:tcW w:w="146" w:type="dxa"/>
            <w:vAlign w:val="center"/>
            <w:hideMark/>
          </w:tcPr>
          <w:p w14:paraId="4B5AF00C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79C28F0C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A429" w14:textId="64430B08" w:rsidR="003A1480" w:rsidRPr="003A1480" w:rsidRDefault="003223D4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Roraima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AC8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17.64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DB8E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8.51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B8B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17.64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28E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10.14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755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11.85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B33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24.60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B0F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11.96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E3A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19.92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25B7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16.38</w:t>
            </w:r>
          </w:p>
        </w:tc>
        <w:tc>
          <w:tcPr>
            <w:tcW w:w="146" w:type="dxa"/>
            <w:vAlign w:val="center"/>
            <w:hideMark/>
          </w:tcPr>
          <w:p w14:paraId="2BC683FF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  <w:tr w:rsidR="003A1480" w:rsidRPr="003A1480" w14:paraId="35A90DD9" w14:textId="77777777" w:rsidTr="003A148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298"/>
          <w:jc w:val="center"/>
        </w:trPr>
        <w:tc>
          <w:tcPr>
            <w:tcW w:w="254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6BD8A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proofErr w:type="spellStart"/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Tocantis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22C7B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_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119E4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_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B03EF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_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2EC4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7.64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FFED9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11.95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0792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14.99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174D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14.81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E987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15.00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B4573" w14:textId="77777777" w:rsidR="003A1480" w:rsidRPr="003A1480" w:rsidRDefault="003A1480" w:rsidP="003A1480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  <w:r w:rsidRPr="003A1480"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  <w:t>13.53</w:t>
            </w:r>
          </w:p>
        </w:tc>
        <w:tc>
          <w:tcPr>
            <w:tcW w:w="146" w:type="dxa"/>
            <w:vAlign w:val="center"/>
            <w:hideMark/>
          </w:tcPr>
          <w:p w14:paraId="5234262A" w14:textId="77777777" w:rsidR="003A1480" w:rsidRPr="003A1480" w:rsidRDefault="003A1480" w:rsidP="003A1480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lang w:val="en-US" w:eastAsia="de-DE" w:bidi="en-US"/>
              </w:rPr>
            </w:pPr>
          </w:p>
        </w:tc>
      </w:tr>
    </w:tbl>
    <w:p w14:paraId="4A4CE8BC" w14:textId="434A490B" w:rsidR="003A1480" w:rsidRPr="003A1480" w:rsidRDefault="00183A11" w:rsidP="00183A11">
      <w:pPr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</w:pPr>
      <w:r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SMR-</w:t>
      </w:r>
      <w:r w:rsidRPr="00183A11">
        <w:rPr>
          <w:rFonts w:ascii="Palatino Linotype" w:eastAsia="Times New Roman" w:hAnsi="Palatino Linotype" w:cs="Times New Roman"/>
          <w:snapToGrid w:val="0"/>
          <w:sz w:val="20"/>
          <w:lang w:val="en-US" w:eastAsia="de-DE" w:bidi="en-US"/>
        </w:rPr>
        <w:t>standardized mean mortality rate</w:t>
      </w:r>
    </w:p>
    <w:sectPr w:rsidR="003A1480" w:rsidRPr="003A14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80"/>
    <w:rsid w:val="00183A11"/>
    <w:rsid w:val="003223D4"/>
    <w:rsid w:val="00354137"/>
    <w:rsid w:val="003A1480"/>
    <w:rsid w:val="00565E3A"/>
    <w:rsid w:val="00B86C8C"/>
    <w:rsid w:val="00E54BAB"/>
    <w:rsid w:val="00F0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1B80"/>
  <w15:chartTrackingRefBased/>
  <w15:docId w15:val="{39EB37F6-51CD-4E25-98C4-1B27D52A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3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MEIRA</dc:creator>
  <cp:keywords/>
  <dc:description/>
  <cp:lastModifiedBy>KARINA MEIRA</cp:lastModifiedBy>
  <cp:revision>5</cp:revision>
  <dcterms:created xsi:type="dcterms:W3CDTF">2022-02-15T01:25:00Z</dcterms:created>
  <dcterms:modified xsi:type="dcterms:W3CDTF">2022-02-15T01:43:00Z</dcterms:modified>
</cp:coreProperties>
</file>